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9A7DE3">
        <w:rPr>
          <w:rFonts w:ascii="Calibri" w:hAnsi="Calibri" w:cs="Calibri"/>
        </w:rPr>
        <w:t>JIŽNÍ 7/2250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</w:t>
      </w:r>
      <w:r w:rsidR="009A7DE3">
        <w:rPr>
          <w:rFonts w:ascii="Calibri" w:hAnsi="Calibri" w:cs="Calibri"/>
        </w:rPr>
        <w:t>2250/7</w:t>
      </w:r>
      <w:r w:rsidRPr="00AD14DF">
        <w:rPr>
          <w:rFonts w:ascii="Calibri" w:hAnsi="Calibri" w:cs="Calibri"/>
        </w:rPr>
        <w:t xml:space="preserve"> na ul. </w:t>
      </w:r>
      <w:r w:rsidR="009A7DE3">
        <w:rPr>
          <w:rFonts w:ascii="Calibri" w:hAnsi="Calibri" w:cs="Calibri"/>
        </w:rPr>
        <w:t>Jižní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C4A13"/>
    <w:rsid w:val="008C64CF"/>
    <w:rsid w:val="009A7DE3"/>
    <w:rsid w:val="00A203B1"/>
    <w:rsid w:val="00AC330B"/>
    <w:rsid w:val="00AD14DF"/>
    <w:rsid w:val="00C23F1D"/>
    <w:rsid w:val="00CC2484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1417</Words>
  <Characters>8365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2021-04-08T05:35:00Z</dcterms:created>
  <dcterms:modified xsi:type="dcterms:W3CDTF">2021-04-08T05:35:00Z</dcterms:modified>
</cp:coreProperties>
</file>