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5174B0">
        <w:rPr>
          <w:rFonts w:ascii="Calibri" w:hAnsi="Calibri" w:cs="Calibri"/>
        </w:rPr>
        <w:t>P.LUMUMBY 19/2162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A7DE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A7DE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9A7DE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174B0">
        <w:rPr>
          <w:rFonts w:ascii="Calibri" w:hAnsi="Calibri" w:cs="Calibri"/>
        </w:rPr>
        <w:t>10</w:t>
      </w:r>
      <w:r>
        <w:rPr>
          <w:rFonts w:ascii="Calibri" w:hAnsi="Calibri" w:cs="Calibri"/>
        </w:rPr>
        <w:t xml:space="preserve"> v bytovém domě č. p. </w:t>
      </w:r>
      <w:r w:rsidR="009A7DE3">
        <w:rPr>
          <w:rFonts w:ascii="Calibri" w:hAnsi="Calibri" w:cs="Calibri"/>
        </w:rPr>
        <w:t>2250/7</w:t>
      </w:r>
      <w:r w:rsidRPr="00AD14DF">
        <w:rPr>
          <w:rFonts w:ascii="Calibri" w:hAnsi="Calibri" w:cs="Calibri"/>
        </w:rPr>
        <w:t xml:space="preserve"> na ul. </w:t>
      </w:r>
      <w:r w:rsidR="009A7DE3">
        <w:rPr>
          <w:rFonts w:ascii="Calibri" w:hAnsi="Calibri" w:cs="Calibri"/>
        </w:rPr>
        <w:t>Jižní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5174B0">
        <w:rPr>
          <w:rFonts w:ascii="Calibri" w:hAnsi="Calibri" w:cs="Calibri"/>
        </w:rPr>
        <w:t>4</w:t>
      </w:r>
      <w:r w:rsidR="009A7DE3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5174B0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5174B0"/>
    <w:rsid w:val="006300D2"/>
    <w:rsid w:val="006534C6"/>
    <w:rsid w:val="006E488A"/>
    <w:rsid w:val="00751524"/>
    <w:rsid w:val="007C7D0F"/>
    <w:rsid w:val="00801A0F"/>
    <w:rsid w:val="008C4A13"/>
    <w:rsid w:val="008C64CF"/>
    <w:rsid w:val="008F73DA"/>
    <w:rsid w:val="009A7DE3"/>
    <w:rsid w:val="00A203B1"/>
    <w:rsid w:val="00AC330B"/>
    <w:rsid w:val="00AD14DF"/>
    <w:rsid w:val="00C23F1D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1418</Words>
  <Characters>8371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2021-04-29T07:12:00Z</dcterms:created>
  <dcterms:modified xsi:type="dcterms:W3CDTF">2021-04-29T07:12:00Z</dcterms:modified>
</cp:coreProperties>
</file>