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1C83ED5D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A3879">
        <w:rPr>
          <w:rFonts w:ascii="Calibri" w:hAnsi="Calibri" w:cs="Calibri"/>
        </w:rPr>
        <w:t xml:space="preserve">SVORNOSTI </w:t>
      </w:r>
      <w:r w:rsidR="005E0FB5">
        <w:rPr>
          <w:rFonts w:ascii="Calibri" w:hAnsi="Calibri" w:cs="Calibri"/>
        </w:rPr>
        <w:t>9/2367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16E523B0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07A94D21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35CED21C" w14:textId="067DEDDE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19B118FB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E0FB5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5E0FB5">
        <w:rPr>
          <w:rFonts w:ascii="Calibri" w:hAnsi="Calibri" w:cs="Calibri"/>
        </w:rPr>
        <w:t>2367/9</w:t>
      </w:r>
      <w:r w:rsidRPr="00AD14DF">
        <w:rPr>
          <w:rFonts w:ascii="Calibri" w:hAnsi="Calibri" w:cs="Calibri"/>
        </w:rPr>
        <w:t xml:space="preserve"> na ul. </w:t>
      </w:r>
      <w:r w:rsidR="002A3879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259B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34934F70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259B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>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5E0FB5">
        <w:rPr>
          <w:rFonts w:ascii="Calibri" w:hAnsi="Calibri" w:cs="Calibri"/>
        </w:rPr>
        <w:t xml:space="preserve"> a v OP plovoucí podlaha</w:t>
      </w:r>
      <w:r w:rsidR="002259B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4C365C3C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5E0FB5">
              <w:rPr>
                <w:rFonts w:ascii="Calibri" w:hAnsi="Calibri" w:cs="Calibri"/>
              </w:rPr>
              <w:t>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4D08B0D8" w:rsidR="00C23F1D" w:rsidRPr="00345B75" w:rsidRDefault="005E0FB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046"/>
    <w:rsid w:val="0021347D"/>
    <w:rsid w:val="002259BF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77F56"/>
    <w:rsid w:val="005962AC"/>
    <w:rsid w:val="005E0FB5"/>
    <w:rsid w:val="00600A37"/>
    <w:rsid w:val="006300D2"/>
    <w:rsid w:val="006534C6"/>
    <w:rsid w:val="00685235"/>
    <w:rsid w:val="006E488A"/>
    <w:rsid w:val="00722365"/>
    <w:rsid w:val="00751524"/>
    <w:rsid w:val="00755FB0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1579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57</cp:revision>
  <cp:lastPrinted>2024-10-08T10:15:00Z</cp:lastPrinted>
  <dcterms:created xsi:type="dcterms:W3CDTF">2019-06-20T07:42:00Z</dcterms:created>
  <dcterms:modified xsi:type="dcterms:W3CDTF">2025-06-26T05:40:00Z</dcterms:modified>
</cp:coreProperties>
</file>