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ECF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7BEAC62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78C0948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0F0F725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5EA21EFD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C8BB045" w14:textId="69570C28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14486C">
        <w:rPr>
          <w:rFonts w:ascii="Calibri" w:hAnsi="Calibri" w:cs="Calibri"/>
        </w:rPr>
        <w:t>6</w:t>
      </w:r>
    </w:p>
    <w:p w14:paraId="65F6112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2BFD911D" w14:textId="5062A4C5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4486C">
        <w:rPr>
          <w:rFonts w:ascii="Calibri" w:hAnsi="Calibri" w:cs="Calibri"/>
        </w:rPr>
        <w:t>18/2461</w:t>
      </w:r>
      <w:r>
        <w:rPr>
          <w:rFonts w:ascii="Calibri" w:hAnsi="Calibri" w:cs="Calibri"/>
        </w:rPr>
        <w:t>, OSTRAVA-ZÁBŘEH</w:t>
      </w:r>
    </w:p>
    <w:p w14:paraId="39B4CDF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84F558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4691D89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642FE96E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1D1B1E7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46C9E96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9271A1" wp14:editId="2D1DE3AA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EB3B0BE" wp14:editId="7E906DDE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460CB4C9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70806A1E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0973FEB5" w14:textId="69238670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F636A1">
        <w:rPr>
          <w:rFonts w:ascii="Calibri" w:hAnsi="Calibri" w:cs="Calibri"/>
        </w:rPr>
        <w:t xml:space="preserve"> </w:t>
      </w:r>
      <w:r w:rsidR="0014486C">
        <w:rPr>
          <w:rFonts w:ascii="Calibri" w:hAnsi="Calibri" w:cs="Calibri"/>
        </w:rPr>
        <w:t>6</w:t>
      </w:r>
    </w:p>
    <w:p w14:paraId="41FF185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72553FA8" w14:textId="23699FDB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14486C">
        <w:rPr>
          <w:rFonts w:ascii="Calibri" w:hAnsi="Calibri" w:cs="Calibri"/>
        </w:rPr>
        <w:t>18/2461</w:t>
      </w:r>
      <w:r>
        <w:rPr>
          <w:rFonts w:ascii="Calibri" w:hAnsi="Calibri" w:cs="Calibri"/>
        </w:rPr>
        <w:t>, OSTRAVA-ZÁBŘEH</w:t>
      </w:r>
    </w:p>
    <w:p w14:paraId="4B77F482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53EC0F6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22176C50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7A2EBA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4036BD5B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F0B30B1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B57A79B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CC5ACB7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367FC64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EE6EE9B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5C5C9576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66DEB1F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085D8834" w14:textId="269D87D2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4486C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073EECF7" w14:textId="64419D36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14486C">
        <w:rPr>
          <w:rFonts w:ascii="Calibri" w:hAnsi="Calibri" w:cs="Calibri"/>
        </w:rPr>
        <w:t>2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14156A71" w14:textId="5D2BBB4A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14486C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</w:t>
      </w:r>
      <w:proofErr w:type="gramStart"/>
      <w:r>
        <w:rPr>
          <w:rFonts w:ascii="Calibri" w:hAnsi="Calibri" w:cs="Calibri"/>
        </w:rPr>
        <w:t>-  PLYN</w:t>
      </w:r>
      <w:proofErr w:type="gramEnd"/>
    </w:p>
    <w:p w14:paraId="14A1390F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0816BD4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B683BE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8CF41C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21BF52A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5994617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22C78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54D8AD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AD348AC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697B2AB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64AE2F33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95592A5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2E7729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4251DD1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EF5D5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1B1BC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305E24F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23C7C6F2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4227E80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FFC9A7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BEF68F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05CDA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6AF434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CB3E85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CE3FFE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DC4B22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3B1C83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35C19A2B" w14:textId="13025EB3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14486C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14486C">
        <w:rPr>
          <w:rFonts w:ascii="Calibri" w:hAnsi="Calibri" w:cs="Calibri"/>
        </w:rPr>
        <w:t xml:space="preserve"> 2461</w:t>
      </w:r>
      <w:r>
        <w:rPr>
          <w:rFonts w:ascii="Calibri" w:hAnsi="Calibri" w:cs="Calibri"/>
        </w:rPr>
        <w:t xml:space="preserve">na ul. Volgogradská </w:t>
      </w:r>
      <w:r w:rsidR="0014486C">
        <w:rPr>
          <w:rFonts w:ascii="Calibri" w:hAnsi="Calibri" w:cs="Calibri"/>
        </w:rPr>
        <w:t>18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4486C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5F442F86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5E0019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DA9FCDD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4D565931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4A87B68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E92E6A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4A74C09" w14:textId="267BED3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C91C38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14486C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</w:t>
      </w:r>
      <w:proofErr w:type="gramStart"/>
      <w:r w:rsidR="00B35A04">
        <w:rPr>
          <w:rFonts w:ascii="Calibri" w:hAnsi="Calibri" w:cs="Calibri"/>
        </w:rPr>
        <w:t xml:space="preserve">vybavena </w:t>
      </w:r>
      <w:r w:rsidR="00A0323A">
        <w:rPr>
          <w:rFonts w:ascii="Calibri" w:hAnsi="Calibri" w:cs="Calibri"/>
        </w:rPr>
        <w:t xml:space="preserve"> plynovým</w:t>
      </w:r>
      <w:proofErr w:type="gramEnd"/>
      <w:r w:rsidR="00A0323A">
        <w:rPr>
          <w:rFonts w:ascii="Calibri" w:hAnsi="Calibri" w:cs="Calibri"/>
        </w:rPr>
        <w:t xml:space="preserve"> </w:t>
      </w:r>
      <w:proofErr w:type="gramStart"/>
      <w:r w:rsidR="00A0323A">
        <w:rPr>
          <w:rFonts w:ascii="Calibri" w:hAnsi="Calibri" w:cs="Calibri"/>
        </w:rPr>
        <w:t xml:space="preserve">sporákem, </w:t>
      </w:r>
      <w:r w:rsidR="007067E7">
        <w:rPr>
          <w:rFonts w:ascii="Calibri" w:hAnsi="Calibri" w:cs="Calibri"/>
        </w:rPr>
        <w:t xml:space="preserve"> kuchyňskou</w:t>
      </w:r>
      <w:proofErr w:type="gramEnd"/>
      <w:r w:rsidR="007067E7">
        <w:rPr>
          <w:rFonts w:ascii="Calibri" w:hAnsi="Calibri" w:cs="Calibri"/>
        </w:rPr>
        <w:t xml:space="preserve">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511CFE63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0580563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2BD3969C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7F78DAA0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AAD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22C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47C4290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294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89A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A53A65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B4B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6D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36DD13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5BE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8AE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0137EC3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9985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773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0F41443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2B3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53F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02729F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52B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</w:t>
            </w:r>
            <w:proofErr w:type="gramStart"/>
            <w:r>
              <w:rPr>
                <w:rFonts w:ascii="Calibri" w:hAnsi="Calibri" w:cs="Calibri"/>
                <w:lang w:eastAsia="en-US"/>
              </w:rPr>
              <w:t>1970mm</w:t>
            </w:r>
            <w:proofErr w:type="gramEnd"/>
            <w:r>
              <w:rPr>
                <w:rFonts w:ascii="Calibri" w:hAnsi="Calibri" w:cs="Calibri"/>
                <w:lang w:eastAsia="en-US"/>
              </w:rPr>
              <w:t>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202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7C34E0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33AF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835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64D7E79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A5C6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9138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6B8F81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41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0D0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389085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D75B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A81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53724D44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6C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D8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8FD87B9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184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95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2F48B5C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AD7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2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6FCCECD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3B9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7883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584143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D7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FEA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2AB95C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945B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713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6B9F1B03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1DC22BF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52DDF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4BE49488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B230D7C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2AC90CFD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</w:t>
      </w:r>
      <w:proofErr w:type="gramStart"/>
      <w:r w:rsidR="00810A4E">
        <w:rPr>
          <w:rFonts w:ascii="Calibri" w:hAnsi="Calibri" w:cs="Calibri"/>
        </w:rPr>
        <w:t>deskou)</w:t>
      </w:r>
      <w:r w:rsidR="00971D31">
        <w:rPr>
          <w:rFonts w:ascii="Calibri" w:hAnsi="Calibri" w:cs="Calibri"/>
        </w:rPr>
        <w:t>za</w:t>
      </w:r>
      <w:proofErr w:type="gramEnd"/>
      <w:r w:rsidR="00971D31">
        <w:rPr>
          <w:rFonts w:ascii="Calibri" w:hAnsi="Calibri" w:cs="Calibri"/>
        </w:rPr>
        <w:t xml:space="preserve"> rohovou kuchyňskou linkou </w:t>
      </w:r>
      <w:proofErr w:type="gramStart"/>
      <w:r w:rsidR="00971D31">
        <w:rPr>
          <w:rFonts w:ascii="Calibri" w:hAnsi="Calibri" w:cs="Calibri"/>
        </w:rPr>
        <w:t>( budou</w:t>
      </w:r>
      <w:proofErr w:type="gramEnd"/>
      <w:r w:rsidR="00971D31">
        <w:rPr>
          <w:rFonts w:ascii="Calibri" w:hAnsi="Calibri" w:cs="Calibri"/>
        </w:rPr>
        <w:t xml:space="preserve"> dodány vestavěné spotřebiče – </w:t>
      </w:r>
      <w:proofErr w:type="spellStart"/>
      <w:proofErr w:type="gramStart"/>
      <w:r w:rsidR="00971D31">
        <w:rPr>
          <w:rFonts w:ascii="Calibri" w:hAnsi="Calibri" w:cs="Calibri"/>
        </w:rPr>
        <w:t>el.trouba</w:t>
      </w:r>
      <w:proofErr w:type="spellEnd"/>
      <w:proofErr w:type="gramEnd"/>
      <w:r w:rsidR="00971D31">
        <w:rPr>
          <w:rFonts w:ascii="Calibri" w:hAnsi="Calibri" w:cs="Calibri"/>
        </w:rPr>
        <w:t xml:space="preserve"> a plynová varná deska</w:t>
      </w:r>
      <w:proofErr w:type="gramStart"/>
      <w:r w:rsidR="00971D31">
        <w:rPr>
          <w:rFonts w:ascii="Calibri" w:hAnsi="Calibri" w:cs="Calibri"/>
        </w:rPr>
        <w:t>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proofErr w:type="gramEnd"/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</w:t>
      </w:r>
      <w:proofErr w:type="gramStart"/>
      <w:r w:rsidRPr="002D7538">
        <w:rPr>
          <w:rFonts w:ascii="Calibri" w:hAnsi="Calibri" w:cs="Calibri"/>
        </w:rPr>
        <w:t>a  vana</w:t>
      </w:r>
      <w:proofErr w:type="gramEnd"/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14:paraId="7E040F9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7CD5F65A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47527666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3758E26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67F1EE5E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8467DF2" w14:textId="77777777" w:rsidTr="003846DE">
        <w:tc>
          <w:tcPr>
            <w:tcW w:w="6850" w:type="dxa"/>
            <w:vAlign w:val="center"/>
          </w:tcPr>
          <w:p w14:paraId="4194F043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09D1FF94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78EDEFC7" w14:textId="77777777" w:rsidTr="003846DE">
        <w:tc>
          <w:tcPr>
            <w:tcW w:w="6850" w:type="dxa"/>
            <w:vAlign w:val="center"/>
          </w:tcPr>
          <w:p w14:paraId="235A9B10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65FB68B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F922532" w14:textId="77777777" w:rsidTr="003846DE">
        <w:tc>
          <w:tcPr>
            <w:tcW w:w="6850" w:type="dxa"/>
            <w:vAlign w:val="center"/>
          </w:tcPr>
          <w:p w14:paraId="5B148C51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3E57F65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14BD7663" w14:textId="77777777" w:rsidTr="003846DE">
        <w:tc>
          <w:tcPr>
            <w:tcW w:w="6850" w:type="dxa"/>
            <w:vAlign w:val="center"/>
          </w:tcPr>
          <w:p w14:paraId="34A9D4D8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72572899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B397C0A" w14:textId="77777777" w:rsidTr="003846DE">
        <w:tc>
          <w:tcPr>
            <w:tcW w:w="6850" w:type="dxa"/>
            <w:vAlign w:val="center"/>
          </w:tcPr>
          <w:p w14:paraId="437370B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  <w:proofErr w:type="gramEnd"/>
          </w:p>
        </w:tc>
        <w:tc>
          <w:tcPr>
            <w:tcW w:w="2247" w:type="dxa"/>
            <w:vAlign w:val="center"/>
          </w:tcPr>
          <w:p w14:paraId="3EB89BB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20801D18" w14:textId="77777777" w:rsidTr="003846DE">
        <w:tc>
          <w:tcPr>
            <w:tcW w:w="6850" w:type="dxa"/>
            <w:vAlign w:val="center"/>
          </w:tcPr>
          <w:p w14:paraId="775861F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4B28AB6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2E7AC9B3" w14:textId="77777777" w:rsidTr="003846DE">
        <w:tc>
          <w:tcPr>
            <w:tcW w:w="6850" w:type="dxa"/>
            <w:vAlign w:val="center"/>
          </w:tcPr>
          <w:p w14:paraId="6DE8E5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47" w:type="dxa"/>
            <w:vAlign w:val="center"/>
          </w:tcPr>
          <w:p w14:paraId="1AB1B50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05A48D63" w14:textId="77777777" w:rsidTr="003846DE">
        <w:tc>
          <w:tcPr>
            <w:tcW w:w="6850" w:type="dxa"/>
            <w:vAlign w:val="center"/>
          </w:tcPr>
          <w:p w14:paraId="3798B10B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77CCC4BD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B639B56" w14:textId="77777777" w:rsidTr="003846DE">
        <w:tc>
          <w:tcPr>
            <w:tcW w:w="6850" w:type="dxa"/>
            <w:vAlign w:val="center"/>
          </w:tcPr>
          <w:p w14:paraId="14D0B2DC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256A55A0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78229713" w14:textId="77777777" w:rsidTr="003846DE">
        <w:tc>
          <w:tcPr>
            <w:tcW w:w="6850" w:type="dxa"/>
            <w:vAlign w:val="center"/>
          </w:tcPr>
          <w:p w14:paraId="374B25A2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58EF8733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6358F6A" w14:textId="77777777" w:rsidTr="003846DE">
        <w:tc>
          <w:tcPr>
            <w:tcW w:w="6850" w:type="dxa"/>
            <w:vAlign w:val="center"/>
          </w:tcPr>
          <w:p w14:paraId="620AB52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4FD47FBF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F1B0636" w14:textId="77777777" w:rsidTr="003846DE">
        <w:tc>
          <w:tcPr>
            <w:tcW w:w="6850" w:type="dxa"/>
            <w:vAlign w:val="center"/>
          </w:tcPr>
          <w:p w14:paraId="6FCBA4DB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72804D1B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162319CC" w14:textId="77777777" w:rsidTr="003846DE">
        <w:tc>
          <w:tcPr>
            <w:tcW w:w="6850" w:type="dxa"/>
            <w:vAlign w:val="center"/>
          </w:tcPr>
          <w:p w14:paraId="0ACA13C5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0565315B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41CA3AEB" w14:textId="77777777" w:rsidTr="003846DE">
        <w:tc>
          <w:tcPr>
            <w:tcW w:w="6850" w:type="dxa"/>
            <w:vAlign w:val="center"/>
          </w:tcPr>
          <w:p w14:paraId="5BA1614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591CD2A7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03C43C8D" w14:textId="77777777" w:rsidTr="003846DE">
        <w:tc>
          <w:tcPr>
            <w:tcW w:w="6850" w:type="dxa"/>
            <w:vAlign w:val="center"/>
          </w:tcPr>
          <w:p w14:paraId="06431294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562C7D0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536530C4" w14:textId="77777777" w:rsidTr="003846DE">
        <w:tc>
          <w:tcPr>
            <w:tcW w:w="6850" w:type="dxa"/>
            <w:vAlign w:val="center"/>
          </w:tcPr>
          <w:p w14:paraId="1A538EA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129403D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2B30326B" w14:textId="77777777" w:rsidTr="003846DE">
        <w:tc>
          <w:tcPr>
            <w:tcW w:w="6850" w:type="dxa"/>
            <w:vAlign w:val="center"/>
          </w:tcPr>
          <w:p w14:paraId="6C0CB63A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3EB7C5E8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730B043E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8AEA26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</w:t>
      </w:r>
      <w:proofErr w:type="gramEnd"/>
      <w:r w:rsidR="007772CC">
        <w:rPr>
          <w:rFonts w:ascii="Calibri" w:hAnsi="Calibri" w:cs="Calibri"/>
        </w:rPr>
        <w:t xml:space="preserve">v </w:t>
      </w:r>
      <w:proofErr w:type="gramStart"/>
      <w:r w:rsidR="007772CC">
        <w:rPr>
          <w:rFonts w:ascii="Calibri" w:hAnsi="Calibri" w:cs="Calibri"/>
        </w:rPr>
        <w:t>panelu)</w:t>
      </w:r>
      <w:r w:rsidRPr="002D7538">
        <w:rPr>
          <w:rFonts w:ascii="Calibri" w:hAnsi="Calibri" w:cs="Calibri"/>
        </w:rPr>
        <w:t>nad</w:t>
      </w:r>
      <w:proofErr w:type="gramEnd"/>
      <w:r w:rsidRPr="002D7538">
        <w:rPr>
          <w:rFonts w:ascii="Calibri" w:hAnsi="Calibri" w:cs="Calibri"/>
        </w:rPr>
        <w:t xml:space="preserve">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</w:t>
      </w:r>
      <w:proofErr w:type="gramStart"/>
      <w:r w:rsidR="00810A4E">
        <w:rPr>
          <w:rFonts w:ascii="Calibri" w:hAnsi="Calibri" w:cs="Calibri"/>
          <w:b/>
        </w:rPr>
        <w:t>( v</w:t>
      </w:r>
      <w:proofErr w:type="gramEnd"/>
      <w:r w:rsidR="00810A4E">
        <w:rPr>
          <w:rFonts w:ascii="Calibri" w:hAnsi="Calibri" w:cs="Calibri"/>
          <w:b/>
        </w:rPr>
        <w:t>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</w:t>
      </w:r>
      <w:proofErr w:type="gramStart"/>
      <w:r w:rsidRPr="002D7538">
        <w:rPr>
          <w:rFonts w:ascii="Calibri" w:hAnsi="Calibri" w:cs="Calibri"/>
        </w:rPr>
        <w:t>7-701ed</w:t>
      </w:r>
      <w:proofErr w:type="gramEnd"/>
      <w:r w:rsidRPr="002D7538">
        <w:rPr>
          <w:rFonts w:ascii="Calibri" w:hAnsi="Calibri" w:cs="Calibri"/>
        </w:rPr>
        <w:t>.2, ČSN 33-2000-</w:t>
      </w:r>
      <w:proofErr w:type="gramStart"/>
      <w:r w:rsidRPr="002D7538">
        <w:rPr>
          <w:rFonts w:ascii="Calibri" w:hAnsi="Calibri" w:cs="Calibri"/>
        </w:rPr>
        <w:t>7-702ed</w:t>
      </w:r>
      <w:proofErr w:type="gramEnd"/>
      <w:r w:rsidRPr="002D7538">
        <w:rPr>
          <w:rFonts w:ascii="Calibri" w:hAnsi="Calibri" w:cs="Calibri"/>
        </w:rPr>
        <w:t>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2E99283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44A8241D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17E427B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63C92945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37412BF0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5A3F5C65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BC8701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63814E04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729ACE9C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7F52ABD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53755612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5773E055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71F705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161E420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21D6C2E8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7000E01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68262064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9B588FA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454A0D5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1DAAE63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04DC556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2983E6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59F885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43DE93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0628C6A4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 xml:space="preserve">6/1977 Sb. Ochrana jakosti </w:t>
      </w:r>
      <w:proofErr w:type="gramStart"/>
      <w:r w:rsidRPr="00D43D32">
        <w:rPr>
          <w:rFonts w:ascii="Calibri" w:hAnsi="Calibri" w:cs="Calibri"/>
        </w:rPr>
        <w:t>povrchových  podzemních</w:t>
      </w:r>
      <w:proofErr w:type="gramEnd"/>
      <w:r w:rsidRPr="00D43D32">
        <w:rPr>
          <w:rFonts w:ascii="Calibri" w:hAnsi="Calibri" w:cs="Calibri"/>
        </w:rPr>
        <w:t xml:space="preserve">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 xml:space="preserve">odavatel </w:t>
      </w:r>
      <w:proofErr w:type="gramStart"/>
      <w:r>
        <w:rPr>
          <w:rFonts w:ascii="Calibri" w:hAnsi="Calibri" w:cs="Calibri"/>
        </w:rPr>
        <w:t>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</w:t>
      </w:r>
      <w:proofErr w:type="gramEnd"/>
      <w:r w:rsidRPr="00D43D32">
        <w:rPr>
          <w:rFonts w:ascii="Calibri" w:hAnsi="Calibri" w:cs="Calibri"/>
        </w:rPr>
        <w:t xml:space="preserve"> při kolaudaci předložit evidenci odpadů vzniklých při stavbě, včetně dokladů o jejich předání oprávněným osobám.</w:t>
      </w:r>
    </w:p>
    <w:p w14:paraId="6559252B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7F3C72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E2CDA0B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29B5C9E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3E0EE6E7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5CBCF2C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57BB75DE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4DA5A5DB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66D8A5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04237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0A24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3E511D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EBA9EC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869F895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472402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E12D6D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3C9511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D39E9A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1C4976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5DF078F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6D5DB14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E672CA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17285171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0C928E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033F3E0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41FA1C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C8F4170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ECE4B37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B285B9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64F7FA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2E23AC3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5BF50AA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62A785C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FC3476E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982CA4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5F555B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FE6018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5D687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021E7D8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6C1E9BF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831387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34F927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EB3587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154C62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C41F37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925483D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510E4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E9C68A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684389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7F3A95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9B3A4B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BC349AA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DEDCD4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6E92AC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A1B1C82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D21AFF8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068A9F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1A4D3FBA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C12C3" w14:textId="77777777" w:rsidR="007067E7" w:rsidRDefault="007067E7">
      <w:r>
        <w:separator/>
      </w:r>
    </w:p>
  </w:endnote>
  <w:endnote w:type="continuationSeparator" w:id="0">
    <w:p w14:paraId="2773F672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8C249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CADFD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D8295" w14:textId="77777777" w:rsidR="007067E7" w:rsidRDefault="007067E7">
      <w:r>
        <w:separator/>
      </w:r>
    </w:p>
  </w:footnote>
  <w:footnote w:type="continuationSeparator" w:id="0">
    <w:p w14:paraId="4F577005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B8D1E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915509203">
    <w:abstractNumId w:val="3"/>
  </w:num>
  <w:num w:numId="2" w16cid:durableId="1756437932">
    <w:abstractNumId w:val="5"/>
  </w:num>
  <w:num w:numId="3" w16cid:durableId="1706443305">
    <w:abstractNumId w:val="7"/>
  </w:num>
  <w:num w:numId="4" w16cid:durableId="559511807">
    <w:abstractNumId w:val="0"/>
  </w:num>
  <w:num w:numId="5" w16cid:durableId="846946696">
    <w:abstractNumId w:val="4"/>
  </w:num>
  <w:num w:numId="6" w16cid:durableId="198396013">
    <w:abstractNumId w:val="2"/>
  </w:num>
  <w:num w:numId="7" w16cid:durableId="547181405">
    <w:abstractNumId w:val="1"/>
  </w:num>
  <w:num w:numId="8" w16cid:durableId="320162358">
    <w:abstractNumId w:val="6"/>
  </w:num>
  <w:num w:numId="9" w16cid:durableId="2409147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6591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4486C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059D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17868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009B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1C38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636A1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D419D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1588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37</cp:revision>
  <cp:lastPrinted>2016-12-09T14:27:00Z</cp:lastPrinted>
  <dcterms:created xsi:type="dcterms:W3CDTF">2019-09-02T13:57:00Z</dcterms:created>
  <dcterms:modified xsi:type="dcterms:W3CDTF">2025-09-09T08:40:00Z</dcterms:modified>
</cp:coreProperties>
</file>