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B53C97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B53C97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0A1E7D">
            <w:pPr>
              <w:pStyle w:val="Nadpistabulky"/>
              <w:jc w:val="both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0A1E7D">
            <w:pPr>
              <w:pStyle w:val="Nadpistabulky"/>
              <w:spacing w:after="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0A1E7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 w:rsidP="000A1E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D4496B" w:rsidP="00D4496B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>VZ 130</w:t>
            </w:r>
            <w:r w:rsidR="00027300">
              <w:rPr>
                <w:rFonts w:ascii="Arial" w:eastAsia="Nimbus Sans L" w:hAnsi="Arial" w:cs="Arial"/>
                <w:b/>
                <w:lang w:val="cs-CZ"/>
              </w:rPr>
              <w:t>/2018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C80E34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DC3152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>
              <w:rPr>
                <w:rFonts w:ascii="Arial" w:eastAsia="Nimbus Sans L" w:hAnsi="Arial" w:cs="Arial"/>
                <w:b/>
                <w:lang w:val="cs-CZ"/>
              </w:rPr>
              <w:t>69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proofErr w:type="spellStart"/>
            <w:r>
              <w:rPr>
                <w:rFonts w:ascii="Arial" w:eastAsia="Nimbus Sans L" w:hAnsi="Arial" w:cs="Arial"/>
                <w:b/>
                <w:lang w:val="cs-CZ"/>
              </w:rPr>
              <w:t>Břenkova</w:t>
            </w:r>
            <w:proofErr w:type="spellEnd"/>
            <w:r>
              <w:rPr>
                <w:rFonts w:ascii="Arial" w:eastAsia="Nimbus Sans L" w:hAnsi="Arial" w:cs="Arial"/>
                <w:b/>
                <w:lang w:val="cs-CZ"/>
              </w:rPr>
              <w:t xml:space="preserve"> 7/</w:t>
            </w:r>
            <w:r w:rsidR="001B162F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>
              <w:rPr>
                <w:rFonts w:ascii="Arial" w:eastAsia="Nimbus Sans L" w:hAnsi="Arial" w:cs="Arial"/>
                <w:b/>
                <w:lang w:val="cs-CZ"/>
              </w:rPr>
              <w:t>2974</w:t>
            </w:r>
            <w:r w:rsidR="007F6653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 O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a – </w:t>
            </w:r>
            <w:r w:rsidR="001B162F">
              <w:rPr>
                <w:rFonts w:ascii="Arial" w:eastAsia="Nimbus Sans L" w:hAnsi="Arial" w:cs="Arial"/>
                <w:b/>
                <w:lang w:val="cs-CZ"/>
              </w:rPr>
              <w:t>Zábřeh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 w:rsidP="000A1E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B53C97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27300"/>
    <w:rsid w:val="00033BCE"/>
    <w:rsid w:val="000A1E7D"/>
    <w:rsid w:val="000A4BC3"/>
    <w:rsid w:val="000B5AD5"/>
    <w:rsid w:val="000C30BA"/>
    <w:rsid w:val="00107004"/>
    <w:rsid w:val="00131DA1"/>
    <w:rsid w:val="00145A40"/>
    <w:rsid w:val="001504E1"/>
    <w:rsid w:val="00177D87"/>
    <w:rsid w:val="0019064D"/>
    <w:rsid w:val="001947E8"/>
    <w:rsid w:val="001A53C1"/>
    <w:rsid w:val="001B162F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A6935"/>
    <w:rsid w:val="005C3895"/>
    <w:rsid w:val="005E0697"/>
    <w:rsid w:val="005E1D59"/>
    <w:rsid w:val="00615B70"/>
    <w:rsid w:val="00640FC3"/>
    <w:rsid w:val="00655E90"/>
    <w:rsid w:val="006668C6"/>
    <w:rsid w:val="006750C8"/>
    <w:rsid w:val="00683315"/>
    <w:rsid w:val="006F2885"/>
    <w:rsid w:val="006F3728"/>
    <w:rsid w:val="0070132C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7F6653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53C97"/>
    <w:rsid w:val="00B66401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80E34"/>
    <w:rsid w:val="00CA3BEE"/>
    <w:rsid w:val="00CB32DE"/>
    <w:rsid w:val="00CF37DE"/>
    <w:rsid w:val="00D314EE"/>
    <w:rsid w:val="00D4496B"/>
    <w:rsid w:val="00D51438"/>
    <w:rsid w:val="00D81AD1"/>
    <w:rsid w:val="00D9526C"/>
    <w:rsid w:val="00DC3152"/>
    <w:rsid w:val="00E01A01"/>
    <w:rsid w:val="00E057F4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53C9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53C97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2018-04-23T08:32:00Z</cp:lastPrinted>
  <dcterms:created xsi:type="dcterms:W3CDTF">2018-06-27T15:03:00Z</dcterms:created>
  <dcterms:modified xsi:type="dcterms:W3CDTF">2018-06-27T15:03:00Z</dcterms:modified>
</cp:coreProperties>
</file>